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D137C" w14:textId="77777777" w:rsidR="001F786F" w:rsidRDefault="001F786F">
      <w:pPr>
        <w:pStyle w:val="BodyText"/>
        <w:rPr>
          <w:sz w:val="20"/>
        </w:rPr>
      </w:pPr>
    </w:p>
    <w:p w14:paraId="06212543" w14:textId="77777777" w:rsidR="001F786F" w:rsidRDefault="001F786F">
      <w:pPr>
        <w:pStyle w:val="BodyText"/>
        <w:spacing w:before="4"/>
        <w:rPr>
          <w:sz w:val="28"/>
        </w:rPr>
      </w:pPr>
    </w:p>
    <w:p w14:paraId="409F2B12" w14:textId="7EA4755C" w:rsidR="001F786F" w:rsidRDefault="004C1278">
      <w:pPr>
        <w:pStyle w:val="Heading1"/>
        <w:spacing w:line="331" w:lineRule="exact"/>
        <w:ind w:left="4168" w:right="4189" w:firstLine="0"/>
      </w:pPr>
      <w:bookmarkStart w:id="0" w:name="Annex_ZA__(informative)__Relationship_be"/>
      <w:bookmarkEnd w:id="0"/>
      <w:r>
        <w:t>Annex Z</w:t>
      </w:r>
      <w:r w:rsidR="000D60F9">
        <w:t>Z</w:t>
      </w:r>
    </w:p>
    <w:p w14:paraId="35442011" w14:textId="77777777" w:rsidR="001F786F" w:rsidRDefault="004C1278">
      <w:pPr>
        <w:spacing w:line="331" w:lineRule="exact"/>
        <w:ind w:left="4168" w:right="4189"/>
        <w:jc w:val="center"/>
        <w:rPr>
          <w:sz w:val="30"/>
        </w:rPr>
      </w:pPr>
      <w:r>
        <w:rPr>
          <w:sz w:val="30"/>
        </w:rPr>
        <w:t>(informative)</w:t>
      </w:r>
    </w:p>
    <w:p w14:paraId="2085D139" w14:textId="77777777" w:rsidR="00E74982" w:rsidRDefault="00E74982" w:rsidP="00E74982">
      <w:pPr>
        <w:pStyle w:val="Default"/>
      </w:pPr>
    </w:p>
    <w:p w14:paraId="118EED71" w14:textId="5368F5E5" w:rsidR="001F786F" w:rsidRPr="00E74982" w:rsidRDefault="00E74982" w:rsidP="00E74982">
      <w:pPr>
        <w:pStyle w:val="BodyText"/>
        <w:spacing w:before="2"/>
        <w:jc w:val="center"/>
        <w:rPr>
          <w:b/>
          <w:sz w:val="32"/>
          <w:szCs w:val="24"/>
        </w:rPr>
      </w:pPr>
      <w:r w:rsidRPr="00E74982">
        <w:rPr>
          <w:b/>
          <w:sz w:val="32"/>
          <w:szCs w:val="24"/>
        </w:rPr>
        <w:t xml:space="preserve">Relationship between this European Standard and the safety requirements of </w:t>
      </w:r>
      <w:r w:rsidR="006950D1">
        <w:rPr>
          <w:b/>
          <w:sz w:val="32"/>
          <w:szCs w:val="24"/>
        </w:rPr>
        <w:t>Regulation 2023/988/EC</w:t>
      </w:r>
      <w:r w:rsidR="006950D1" w:rsidRPr="00E74982">
        <w:rPr>
          <w:b/>
          <w:sz w:val="32"/>
          <w:szCs w:val="24"/>
        </w:rPr>
        <w:t xml:space="preserve"> </w:t>
      </w:r>
      <w:r w:rsidRPr="00E74982">
        <w:rPr>
          <w:b/>
          <w:sz w:val="32"/>
          <w:szCs w:val="24"/>
        </w:rPr>
        <w:t xml:space="preserve">aimed to be </w:t>
      </w:r>
      <w:proofErr w:type="gramStart"/>
      <w:r w:rsidRPr="00E74982">
        <w:rPr>
          <w:b/>
          <w:sz w:val="32"/>
          <w:szCs w:val="24"/>
        </w:rPr>
        <w:t>covered</w:t>
      </w:r>
      <w:proofErr w:type="gramEnd"/>
    </w:p>
    <w:p w14:paraId="3337C38C" w14:textId="77777777" w:rsidR="001F786F" w:rsidRPr="00E74982" w:rsidRDefault="001F786F">
      <w:pPr>
        <w:pStyle w:val="BodyText"/>
        <w:rPr>
          <w:rFonts w:ascii="Calibri" w:hAnsi="Calibri" w:cs="Calibri"/>
          <w:b/>
          <w:sz w:val="34"/>
        </w:rPr>
      </w:pPr>
    </w:p>
    <w:p w14:paraId="7D558DE0" w14:textId="77777777" w:rsidR="001F786F" w:rsidRPr="006950D1" w:rsidRDefault="001F786F">
      <w:pPr>
        <w:pStyle w:val="BodyText"/>
        <w:spacing w:before="2"/>
        <w:rPr>
          <w:b/>
          <w:sz w:val="12"/>
          <w:szCs w:val="6"/>
        </w:rPr>
      </w:pPr>
    </w:p>
    <w:p w14:paraId="5630B72B" w14:textId="417B3B89" w:rsidR="001F786F" w:rsidRDefault="004C1278">
      <w:pPr>
        <w:pStyle w:val="BodyText"/>
        <w:ind w:left="176" w:right="194"/>
        <w:jc w:val="both"/>
      </w:pPr>
      <w:r>
        <w:t xml:space="preserve">This European Standard has been prepared under </w:t>
      </w:r>
      <w:r w:rsidRPr="00C36BE4">
        <w:rPr>
          <w:highlight w:val="yellow"/>
        </w:rPr>
        <w:t>a Commission’s standardization request</w:t>
      </w:r>
      <w:r>
        <w:t xml:space="preserve"> </w:t>
      </w:r>
      <w:r>
        <w:rPr>
          <w:color w:val="FF0000"/>
        </w:rPr>
        <w:t>[Full reference to the request “M/xxx”]</w:t>
      </w:r>
      <w:r w:rsidR="006950D1">
        <w:rPr>
          <w:rStyle w:val="FootnoteReference"/>
          <w:color w:val="FF0000"/>
        </w:rPr>
        <w:footnoteReference w:id="1"/>
      </w:r>
      <w:r>
        <w:rPr>
          <w:color w:val="FF0000"/>
        </w:rPr>
        <w:t xml:space="preserve"> </w:t>
      </w:r>
      <w:r>
        <w:t xml:space="preserve">to provide one voluntary means of conforming to the </w:t>
      </w:r>
      <w:r w:rsidR="00354440">
        <w:t xml:space="preserve">safety </w:t>
      </w:r>
      <w:r>
        <w:t xml:space="preserve">requirements of Commission </w:t>
      </w:r>
      <w:r w:rsidR="00354440">
        <w:t>Decision</w:t>
      </w:r>
      <w:r>
        <w:t xml:space="preserve"> (</w:t>
      </w:r>
      <w:r>
        <w:rPr>
          <w:color w:val="FF0000"/>
        </w:rPr>
        <w:t>EU/EC</w:t>
      </w:r>
      <w:r>
        <w:t xml:space="preserve">) No </w:t>
      </w:r>
      <w:r>
        <w:rPr>
          <w:color w:val="FF0000"/>
        </w:rPr>
        <w:t xml:space="preserve">[XXX/YYYY] </w:t>
      </w:r>
      <w:r>
        <w:t xml:space="preserve">of </w:t>
      </w:r>
      <w:r>
        <w:rPr>
          <w:color w:val="FF0000"/>
        </w:rPr>
        <w:t xml:space="preserve">[date] </w:t>
      </w:r>
      <w:r>
        <w:t xml:space="preserve">implementing </w:t>
      </w:r>
      <w:r w:rsidR="00354440">
        <w:t xml:space="preserve">General Product Safety </w:t>
      </w:r>
      <w:r w:rsidR="006950D1">
        <w:t>Regulation 2023/988/EC</w:t>
      </w:r>
      <w:r>
        <w:t xml:space="preserve"> of the European Parliament and of the Council with regard to </w:t>
      </w:r>
      <w:r w:rsidR="00354440">
        <w:t>safety</w:t>
      </w:r>
      <w:r>
        <w:rPr>
          <w:spacing w:val="-4"/>
        </w:rPr>
        <w:t xml:space="preserve"> </w:t>
      </w:r>
      <w:r>
        <w:t>requirements</w:t>
      </w:r>
      <w:r>
        <w:rPr>
          <w:spacing w:val="-2"/>
        </w:rPr>
        <w:t xml:space="preserve"> </w:t>
      </w:r>
      <w:r>
        <w:t>for</w:t>
      </w:r>
      <w:r>
        <w:rPr>
          <w:spacing w:val="-3"/>
        </w:rPr>
        <w:t xml:space="preserve"> </w:t>
      </w:r>
      <w:r>
        <w:rPr>
          <w:color w:val="FF0000"/>
        </w:rPr>
        <w:t>[product</w:t>
      </w:r>
      <w:r>
        <w:rPr>
          <w:color w:val="FF0000"/>
          <w:spacing w:val="-3"/>
        </w:rPr>
        <w:t xml:space="preserve"> </w:t>
      </w:r>
      <w:r>
        <w:rPr>
          <w:color w:val="FF0000"/>
        </w:rPr>
        <w:t>name</w:t>
      </w:r>
      <w:r>
        <w:rPr>
          <w:color w:val="FF0000"/>
          <w:spacing w:val="-3"/>
        </w:rPr>
        <w:t xml:space="preserve"> </w:t>
      </w:r>
      <w:r>
        <w:rPr>
          <w:color w:val="FF0000"/>
        </w:rPr>
        <w:t>as</w:t>
      </w:r>
      <w:r>
        <w:rPr>
          <w:color w:val="FF0000"/>
          <w:spacing w:val="-4"/>
        </w:rPr>
        <w:t xml:space="preserve"> </w:t>
      </w:r>
      <w:r>
        <w:rPr>
          <w:color w:val="FF0000"/>
        </w:rPr>
        <w:t>indicated</w:t>
      </w:r>
      <w:r>
        <w:rPr>
          <w:color w:val="FF0000"/>
          <w:spacing w:val="-3"/>
        </w:rPr>
        <w:t xml:space="preserve"> </w:t>
      </w:r>
      <w:r>
        <w:rPr>
          <w:color w:val="FF0000"/>
        </w:rPr>
        <w:t>in</w:t>
      </w:r>
      <w:r>
        <w:rPr>
          <w:color w:val="FF0000"/>
          <w:spacing w:val="-4"/>
        </w:rPr>
        <w:t xml:space="preserve"> </w:t>
      </w:r>
      <w:r>
        <w:rPr>
          <w:color w:val="FF0000"/>
        </w:rPr>
        <w:t>title</w:t>
      </w:r>
      <w:r>
        <w:rPr>
          <w:color w:val="FF0000"/>
          <w:spacing w:val="-3"/>
        </w:rPr>
        <w:t xml:space="preserve"> </w:t>
      </w:r>
      <w:r>
        <w:rPr>
          <w:color w:val="FF0000"/>
        </w:rPr>
        <w:t>of</w:t>
      </w:r>
      <w:r>
        <w:rPr>
          <w:color w:val="FF0000"/>
          <w:spacing w:val="-3"/>
        </w:rPr>
        <w:t xml:space="preserve"> </w:t>
      </w:r>
      <w:r>
        <w:rPr>
          <w:color w:val="FF0000"/>
        </w:rPr>
        <w:t>the</w:t>
      </w:r>
      <w:r>
        <w:rPr>
          <w:color w:val="FF0000"/>
          <w:spacing w:val="-3"/>
        </w:rPr>
        <w:t xml:space="preserve"> </w:t>
      </w:r>
      <w:r w:rsidR="00354440">
        <w:rPr>
          <w:color w:val="FF0000"/>
        </w:rPr>
        <w:t>EC implementing Decision</w:t>
      </w:r>
      <w:r>
        <w:rPr>
          <w:color w:val="FF0000"/>
        </w:rPr>
        <w:t>]</w:t>
      </w:r>
      <w:r w:rsidR="00354440">
        <w:rPr>
          <w:color w:val="FF0000"/>
          <w:spacing w:val="-3"/>
        </w:rPr>
        <w:t>.</w:t>
      </w:r>
    </w:p>
    <w:p w14:paraId="25EFE2EF" w14:textId="77777777" w:rsidR="001F786F" w:rsidRDefault="001F786F">
      <w:pPr>
        <w:pStyle w:val="BodyText"/>
        <w:spacing w:before="4"/>
        <w:rPr>
          <w:sz w:val="20"/>
        </w:rPr>
      </w:pPr>
    </w:p>
    <w:p w14:paraId="7EE1BD64" w14:textId="2E2CDE61" w:rsidR="001F786F" w:rsidRDefault="004C1278">
      <w:pPr>
        <w:pStyle w:val="BodyText"/>
        <w:ind w:left="176" w:right="193" w:hanging="1"/>
        <w:jc w:val="both"/>
      </w:pPr>
      <w:r>
        <w:t xml:space="preserve">Once this standard is cited in the Official Journal of the European Union under that </w:t>
      </w:r>
      <w:r w:rsidR="006950D1">
        <w:rPr>
          <w:b/>
          <w:bCs/>
        </w:rPr>
        <w:t>Regulation 2023/988/EC</w:t>
      </w:r>
      <w:r>
        <w:t>, compliance with the normative clauses of this standard given in Table Z</w:t>
      </w:r>
      <w:r w:rsidR="000D60F9">
        <w:t>Z</w:t>
      </w:r>
      <w:r>
        <w:t xml:space="preserve">.1 confers, within the limits of the scope of this standard, a presumption of conformity with the corresponding </w:t>
      </w:r>
      <w:r w:rsidR="00354440">
        <w:t>safety</w:t>
      </w:r>
      <w:r>
        <w:t xml:space="preserve"> requirements of that </w:t>
      </w:r>
      <w:r w:rsidR="006950D1">
        <w:t>Regulation</w:t>
      </w:r>
      <w:r w:rsidR="00E047E5">
        <w:t xml:space="preserve"> </w:t>
      </w:r>
      <w:r>
        <w:t>and associated EFTA</w:t>
      </w:r>
      <w:r>
        <w:rPr>
          <w:spacing w:val="-23"/>
        </w:rPr>
        <w:t xml:space="preserve"> </w:t>
      </w:r>
      <w:r>
        <w:t>regulations.</w:t>
      </w:r>
    </w:p>
    <w:p w14:paraId="352BABFA" w14:textId="77777777" w:rsidR="001F786F" w:rsidRDefault="001F786F">
      <w:pPr>
        <w:pStyle w:val="BodyText"/>
        <w:spacing w:before="5"/>
        <w:rPr>
          <w:sz w:val="20"/>
        </w:rPr>
      </w:pPr>
    </w:p>
    <w:p w14:paraId="67715907" w14:textId="6433D8D2" w:rsidR="001F786F" w:rsidRDefault="004C1278">
      <w:pPr>
        <w:spacing w:line="213" w:lineRule="auto"/>
        <w:ind w:left="243" w:right="265" w:hanging="4"/>
        <w:jc w:val="center"/>
        <w:rPr>
          <w:b/>
        </w:rPr>
      </w:pPr>
      <w:r>
        <w:rPr>
          <w:b/>
        </w:rPr>
        <w:t>Table Z</w:t>
      </w:r>
      <w:r w:rsidR="000D60F9">
        <w:rPr>
          <w:b/>
        </w:rPr>
        <w:t>Z</w:t>
      </w:r>
      <w:r>
        <w:rPr>
          <w:b/>
        </w:rPr>
        <w:t xml:space="preserve">.1 — Correspondence between this European Standard and Commission </w:t>
      </w:r>
      <w:proofErr w:type="gramStart"/>
      <w:r w:rsidR="00E047E5">
        <w:rPr>
          <w:b/>
        </w:rPr>
        <w:t xml:space="preserve">Decision  </w:t>
      </w:r>
      <w:r>
        <w:rPr>
          <w:b/>
        </w:rPr>
        <w:t>(</w:t>
      </w:r>
      <w:proofErr w:type="gramEnd"/>
      <w:r>
        <w:rPr>
          <w:b/>
          <w:color w:val="FF0000"/>
        </w:rPr>
        <w:t>EU/EC</w:t>
      </w:r>
      <w:r>
        <w:rPr>
          <w:b/>
        </w:rPr>
        <w:t xml:space="preserve">) No </w:t>
      </w:r>
      <w:r>
        <w:rPr>
          <w:b/>
          <w:color w:val="FF0000"/>
        </w:rPr>
        <w:t xml:space="preserve">[XXX/YYYY] </w:t>
      </w:r>
      <w:r>
        <w:rPr>
          <w:b/>
        </w:rPr>
        <w:t xml:space="preserve">of </w:t>
      </w:r>
      <w:r>
        <w:rPr>
          <w:b/>
          <w:color w:val="FF0000"/>
        </w:rPr>
        <w:t xml:space="preserve">[date] </w:t>
      </w:r>
      <w:r>
        <w:rPr>
          <w:b/>
        </w:rPr>
        <w:t xml:space="preserve">implementing </w:t>
      </w:r>
      <w:r w:rsidR="006950D1">
        <w:rPr>
          <w:b/>
        </w:rPr>
        <w:t>Regulation 2023/988/EC</w:t>
      </w:r>
      <w:r>
        <w:rPr>
          <w:b/>
        </w:rPr>
        <w:t xml:space="preserve"> of the European Parliament and of the Council with regard to </w:t>
      </w:r>
      <w:r w:rsidR="00354440">
        <w:rPr>
          <w:b/>
        </w:rPr>
        <w:t>safety</w:t>
      </w:r>
      <w:r>
        <w:rPr>
          <w:b/>
        </w:rPr>
        <w:t xml:space="preserve"> requirements for </w:t>
      </w:r>
      <w:r>
        <w:rPr>
          <w:b/>
          <w:color w:val="FF0000"/>
        </w:rPr>
        <w:t xml:space="preserve">[product name] </w:t>
      </w:r>
      <w:r>
        <w:rPr>
          <w:b/>
        </w:rPr>
        <w:t>and Commission’s standardi</w:t>
      </w:r>
      <w:r w:rsidR="00E74982">
        <w:rPr>
          <w:b/>
        </w:rPr>
        <w:t>z</w:t>
      </w:r>
      <w:r>
        <w:rPr>
          <w:b/>
        </w:rPr>
        <w:t xml:space="preserve">ation request </w:t>
      </w:r>
      <w:r>
        <w:rPr>
          <w:b/>
          <w:color w:val="FF0000"/>
        </w:rPr>
        <w:t>[Full reference to the request ‘M/xxx’]</w:t>
      </w:r>
    </w:p>
    <w:p w14:paraId="02715F20" w14:textId="77777777" w:rsidR="001F786F" w:rsidRDefault="001F786F">
      <w:pPr>
        <w:pStyle w:val="BodyText"/>
        <w:spacing w:before="4"/>
        <w:rPr>
          <w:b/>
          <w:sz w:val="1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5"/>
        <w:gridCol w:w="3298"/>
        <w:gridCol w:w="3300"/>
      </w:tblGrid>
      <w:tr w:rsidR="001F786F" w14:paraId="580DFB03" w14:textId="77777777">
        <w:trPr>
          <w:trHeight w:hRule="exact" w:val="1025"/>
        </w:trPr>
        <w:tc>
          <w:tcPr>
            <w:tcW w:w="3295" w:type="dxa"/>
          </w:tcPr>
          <w:p w14:paraId="525B1296" w14:textId="09BF2FD1" w:rsidR="001F786F" w:rsidRDefault="00354440" w:rsidP="00E047E5">
            <w:pPr>
              <w:pStyle w:val="TableParagraph"/>
              <w:ind w:right="264"/>
              <w:jc w:val="center"/>
              <w:rPr>
                <w:b/>
              </w:rPr>
            </w:pPr>
            <w:r>
              <w:rPr>
                <w:b/>
              </w:rPr>
              <w:t>Safety</w:t>
            </w:r>
            <w:r w:rsidR="004C1278">
              <w:rPr>
                <w:b/>
              </w:rPr>
              <w:t xml:space="preserve"> Requirements</w:t>
            </w:r>
            <w:r w:rsidR="00E047E5">
              <w:rPr>
                <w:b/>
              </w:rPr>
              <w:br/>
            </w:r>
            <w:r w:rsidR="004C1278">
              <w:rPr>
                <w:b/>
              </w:rPr>
              <w:t xml:space="preserve"> of</w:t>
            </w:r>
            <w:r w:rsidR="00E047E5">
              <w:rPr>
                <w:b/>
              </w:rPr>
              <w:t xml:space="preserve"> EC Decision </w:t>
            </w:r>
            <w:r w:rsidR="004C1278">
              <w:rPr>
                <w:b/>
              </w:rPr>
              <w:t>(</w:t>
            </w:r>
            <w:r w:rsidR="004C1278">
              <w:rPr>
                <w:b/>
                <w:color w:val="FF0000"/>
              </w:rPr>
              <w:t>EU/EC</w:t>
            </w:r>
            <w:r w:rsidR="004C1278">
              <w:rPr>
                <w:b/>
              </w:rPr>
              <w:t xml:space="preserve">) No </w:t>
            </w:r>
            <w:r w:rsidR="004C1278">
              <w:rPr>
                <w:b/>
                <w:color w:val="FF0000"/>
              </w:rPr>
              <w:t>[XXX/YYYY]</w:t>
            </w:r>
          </w:p>
        </w:tc>
        <w:tc>
          <w:tcPr>
            <w:tcW w:w="3298" w:type="dxa"/>
          </w:tcPr>
          <w:p w14:paraId="0AE4D4AC" w14:textId="77777777" w:rsidR="001F786F" w:rsidRDefault="004C1278">
            <w:pPr>
              <w:pStyle w:val="TableParagraph"/>
              <w:ind w:left="1168" w:right="420" w:hanging="728"/>
              <w:rPr>
                <w:b/>
              </w:rPr>
            </w:pPr>
            <w:r>
              <w:rPr>
                <w:b/>
              </w:rPr>
              <w:t>Clause(s)/sub-clause(s) of this EN</w:t>
            </w:r>
          </w:p>
        </w:tc>
        <w:tc>
          <w:tcPr>
            <w:tcW w:w="3300" w:type="dxa"/>
          </w:tcPr>
          <w:p w14:paraId="07BF7C3E" w14:textId="77777777" w:rsidR="001F786F" w:rsidRDefault="004C1278">
            <w:pPr>
              <w:pStyle w:val="TableParagraph"/>
              <w:spacing w:line="258" w:lineRule="exact"/>
              <w:ind w:left="849"/>
              <w:rPr>
                <w:b/>
              </w:rPr>
            </w:pPr>
            <w:r>
              <w:rPr>
                <w:b/>
              </w:rPr>
              <w:t>Remarks/Notes</w:t>
            </w:r>
          </w:p>
        </w:tc>
      </w:tr>
      <w:tr w:rsidR="004C1278" w14:paraId="3C2836E6" w14:textId="77777777" w:rsidTr="00E74982">
        <w:trPr>
          <w:trHeight w:hRule="exact" w:val="424"/>
        </w:trPr>
        <w:tc>
          <w:tcPr>
            <w:tcW w:w="3295" w:type="dxa"/>
          </w:tcPr>
          <w:p w14:paraId="2B638D8A" w14:textId="4EF40975" w:rsidR="004C1278" w:rsidRPr="006950D1" w:rsidRDefault="00E74982" w:rsidP="004C1278">
            <w:pPr>
              <w:rPr>
                <w:color w:val="FF0000"/>
                <w:sz w:val="20"/>
                <w:szCs w:val="20"/>
              </w:rPr>
            </w:pPr>
            <w:r w:rsidRPr="006950D1">
              <w:rPr>
                <w:color w:val="FF0000"/>
                <w:sz w:val="20"/>
                <w:szCs w:val="20"/>
              </w:rPr>
              <w:t>Product and product definition</w:t>
            </w:r>
          </w:p>
        </w:tc>
        <w:tc>
          <w:tcPr>
            <w:tcW w:w="3298" w:type="dxa"/>
          </w:tcPr>
          <w:p w14:paraId="2539ACBE" w14:textId="79D252E3" w:rsidR="004C1278" w:rsidRPr="006950D1" w:rsidRDefault="004C1278" w:rsidP="004C1278">
            <w:pPr>
              <w:rPr>
                <w:color w:val="FF0000"/>
                <w:sz w:val="20"/>
                <w:szCs w:val="20"/>
              </w:rPr>
            </w:pPr>
            <w:r w:rsidRPr="006950D1">
              <w:rPr>
                <w:color w:val="FF0000"/>
                <w:sz w:val="20"/>
                <w:szCs w:val="20"/>
              </w:rPr>
              <w:t xml:space="preserve"> </w:t>
            </w:r>
            <w:r w:rsidR="00E74982" w:rsidRPr="006950D1">
              <w:rPr>
                <w:color w:val="FF0000"/>
                <w:sz w:val="20"/>
                <w:szCs w:val="20"/>
              </w:rPr>
              <w:t>Clause X</w:t>
            </w:r>
          </w:p>
        </w:tc>
        <w:tc>
          <w:tcPr>
            <w:tcW w:w="3300" w:type="dxa"/>
          </w:tcPr>
          <w:p w14:paraId="30A4C50C" w14:textId="74A21980" w:rsidR="004C1278" w:rsidRPr="006950D1" w:rsidRDefault="00E74982" w:rsidP="004C1278">
            <w:pPr>
              <w:rPr>
                <w:sz w:val="20"/>
                <w:szCs w:val="20"/>
              </w:rPr>
            </w:pPr>
            <w:r w:rsidRPr="006950D1">
              <w:rPr>
                <w:sz w:val="20"/>
                <w:szCs w:val="20"/>
              </w:rPr>
              <w:t>XXXX</w:t>
            </w:r>
          </w:p>
        </w:tc>
      </w:tr>
      <w:tr w:rsidR="00E74982" w14:paraId="16A8543B" w14:textId="77777777" w:rsidTr="00E74982">
        <w:trPr>
          <w:trHeight w:hRule="exact" w:val="424"/>
        </w:trPr>
        <w:tc>
          <w:tcPr>
            <w:tcW w:w="3295" w:type="dxa"/>
          </w:tcPr>
          <w:p w14:paraId="6AEC6A71" w14:textId="59D03274" w:rsidR="00E74982" w:rsidRPr="006950D1" w:rsidRDefault="00E74982" w:rsidP="004C1278">
            <w:pPr>
              <w:rPr>
                <w:color w:val="FF0000"/>
                <w:sz w:val="20"/>
                <w:szCs w:val="20"/>
              </w:rPr>
            </w:pPr>
            <w:r w:rsidRPr="006950D1">
              <w:rPr>
                <w:color w:val="FF0000"/>
                <w:sz w:val="20"/>
                <w:szCs w:val="20"/>
              </w:rPr>
              <w:t>A. General Safety Requirements</w:t>
            </w:r>
          </w:p>
        </w:tc>
        <w:tc>
          <w:tcPr>
            <w:tcW w:w="3298" w:type="dxa"/>
          </w:tcPr>
          <w:p w14:paraId="0ABC5DDA" w14:textId="3B796C88" w:rsidR="00E74982" w:rsidRPr="006950D1" w:rsidRDefault="00E74982" w:rsidP="004C1278">
            <w:pPr>
              <w:rPr>
                <w:color w:val="FF0000"/>
                <w:sz w:val="20"/>
                <w:szCs w:val="20"/>
              </w:rPr>
            </w:pPr>
            <w:r w:rsidRPr="006950D1">
              <w:rPr>
                <w:color w:val="FF0000"/>
                <w:sz w:val="20"/>
                <w:szCs w:val="20"/>
              </w:rPr>
              <w:t xml:space="preserve"> Clause Y. YY</w:t>
            </w:r>
          </w:p>
        </w:tc>
        <w:tc>
          <w:tcPr>
            <w:tcW w:w="3300" w:type="dxa"/>
          </w:tcPr>
          <w:p w14:paraId="77691DC7" w14:textId="68E53043" w:rsidR="00E74982" w:rsidRPr="006950D1" w:rsidRDefault="00E74982" w:rsidP="004C1278">
            <w:pPr>
              <w:rPr>
                <w:sz w:val="20"/>
                <w:szCs w:val="20"/>
              </w:rPr>
            </w:pPr>
            <w:r w:rsidRPr="006950D1">
              <w:rPr>
                <w:sz w:val="20"/>
                <w:szCs w:val="20"/>
              </w:rPr>
              <w:t>YYYY</w:t>
            </w:r>
          </w:p>
        </w:tc>
      </w:tr>
      <w:tr w:rsidR="004C1278" w14:paraId="0801BB64" w14:textId="77777777" w:rsidTr="00E74982">
        <w:trPr>
          <w:trHeight w:hRule="exact" w:val="565"/>
        </w:trPr>
        <w:tc>
          <w:tcPr>
            <w:tcW w:w="3295" w:type="dxa"/>
          </w:tcPr>
          <w:p w14:paraId="7A25D648" w14:textId="25A5DA98" w:rsidR="00E74982" w:rsidRPr="006950D1" w:rsidRDefault="00E74982" w:rsidP="00E74982">
            <w:pPr>
              <w:pStyle w:val="Default"/>
              <w:spacing w:after="240"/>
              <w:rPr>
                <w:rFonts w:ascii="Times New Roman" w:hAnsi="Times New Roman" w:cs="Times New Roman"/>
                <w:color w:val="FF0000"/>
                <w:sz w:val="20"/>
                <w:szCs w:val="20"/>
              </w:rPr>
            </w:pPr>
            <w:r w:rsidRPr="006950D1">
              <w:rPr>
                <w:rFonts w:ascii="Times New Roman" w:hAnsi="Times New Roman" w:cs="Times New Roman"/>
                <w:color w:val="FF0000"/>
                <w:sz w:val="20"/>
                <w:szCs w:val="20"/>
              </w:rPr>
              <w:t>B. Specific Safety Requirements</w:t>
            </w:r>
          </w:p>
          <w:p w14:paraId="548A3642" w14:textId="0B770439" w:rsidR="004C1278" w:rsidRPr="006950D1" w:rsidRDefault="004C1278" w:rsidP="00E74982">
            <w:pPr>
              <w:rPr>
                <w:color w:val="FF0000"/>
                <w:sz w:val="20"/>
                <w:szCs w:val="20"/>
              </w:rPr>
            </w:pPr>
          </w:p>
        </w:tc>
        <w:tc>
          <w:tcPr>
            <w:tcW w:w="3298" w:type="dxa"/>
          </w:tcPr>
          <w:p w14:paraId="55506D59" w14:textId="2DA4D40E" w:rsidR="004C1278" w:rsidRPr="006950D1" w:rsidRDefault="004C1278" w:rsidP="004C1278">
            <w:pPr>
              <w:rPr>
                <w:color w:val="FF0000"/>
                <w:sz w:val="20"/>
                <w:szCs w:val="20"/>
              </w:rPr>
            </w:pPr>
          </w:p>
        </w:tc>
        <w:tc>
          <w:tcPr>
            <w:tcW w:w="3300" w:type="dxa"/>
          </w:tcPr>
          <w:p w14:paraId="097FD457" w14:textId="77777777" w:rsidR="004C1278" w:rsidRPr="006950D1" w:rsidRDefault="004C1278" w:rsidP="004C1278">
            <w:pPr>
              <w:rPr>
                <w:sz w:val="20"/>
                <w:szCs w:val="20"/>
              </w:rPr>
            </w:pPr>
          </w:p>
        </w:tc>
      </w:tr>
      <w:tr w:rsidR="00E74982" w14:paraId="22174E97" w14:textId="77777777" w:rsidTr="00E74982">
        <w:trPr>
          <w:trHeight w:hRule="exact" w:val="1692"/>
        </w:trPr>
        <w:tc>
          <w:tcPr>
            <w:tcW w:w="3295" w:type="dxa"/>
          </w:tcPr>
          <w:p w14:paraId="66F732E1" w14:textId="77777777" w:rsidR="00E74982" w:rsidRPr="006950D1" w:rsidRDefault="00E74982" w:rsidP="00E74982">
            <w:pPr>
              <w:pStyle w:val="Default"/>
              <w:spacing w:after="240"/>
              <w:rPr>
                <w:rFonts w:ascii="Times New Roman" w:hAnsi="Times New Roman" w:cs="Times New Roman"/>
                <w:color w:val="FF0000"/>
                <w:sz w:val="20"/>
                <w:szCs w:val="20"/>
              </w:rPr>
            </w:pPr>
            <w:r w:rsidRPr="006950D1">
              <w:rPr>
                <w:rFonts w:ascii="Times New Roman" w:hAnsi="Times New Roman" w:cs="Times New Roman"/>
                <w:color w:val="FF0000"/>
                <w:sz w:val="20"/>
                <w:szCs w:val="20"/>
              </w:rPr>
              <w:t>B. (a) Entrapment hazards from gaps and openings</w:t>
            </w:r>
          </w:p>
          <w:p w14:paraId="3467C17F" w14:textId="77777777" w:rsidR="00E74982" w:rsidRPr="006950D1" w:rsidRDefault="00E74982" w:rsidP="00E74982">
            <w:pPr>
              <w:pStyle w:val="Default"/>
              <w:spacing w:after="240"/>
              <w:rPr>
                <w:rFonts w:ascii="Times New Roman" w:hAnsi="Times New Roman" w:cs="Times New Roman"/>
                <w:color w:val="FF0000"/>
                <w:sz w:val="20"/>
                <w:szCs w:val="20"/>
              </w:rPr>
            </w:pPr>
            <w:r w:rsidRPr="006950D1">
              <w:rPr>
                <w:rFonts w:ascii="Times New Roman" w:hAnsi="Times New Roman" w:cs="Times New Roman"/>
                <w:color w:val="FF0000"/>
                <w:sz w:val="20"/>
                <w:szCs w:val="20"/>
              </w:rPr>
              <w:t>Please note that the safety requirements should be written explicitly.</w:t>
            </w:r>
          </w:p>
          <w:p w14:paraId="07FD72D1" w14:textId="48BBC812" w:rsidR="00E74982" w:rsidRPr="006950D1" w:rsidRDefault="00E74982" w:rsidP="00E74982">
            <w:pPr>
              <w:pStyle w:val="Default"/>
              <w:spacing w:after="240"/>
              <w:rPr>
                <w:rFonts w:ascii="Times New Roman" w:hAnsi="Times New Roman" w:cs="Times New Roman"/>
                <w:color w:val="FF0000"/>
                <w:sz w:val="20"/>
                <w:szCs w:val="20"/>
              </w:rPr>
            </w:pPr>
          </w:p>
        </w:tc>
        <w:tc>
          <w:tcPr>
            <w:tcW w:w="3298" w:type="dxa"/>
          </w:tcPr>
          <w:p w14:paraId="212A6D75" w14:textId="3C45705A" w:rsidR="00E74982" w:rsidRPr="006950D1" w:rsidRDefault="00E74982" w:rsidP="004C1278">
            <w:pPr>
              <w:rPr>
                <w:color w:val="FF0000"/>
                <w:sz w:val="20"/>
                <w:szCs w:val="20"/>
              </w:rPr>
            </w:pPr>
            <w:r w:rsidRPr="006950D1">
              <w:rPr>
                <w:color w:val="FF0000"/>
                <w:sz w:val="20"/>
                <w:szCs w:val="20"/>
              </w:rPr>
              <w:t>Clause a. aa</w:t>
            </w:r>
          </w:p>
        </w:tc>
        <w:tc>
          <w:tcPr>
            <w:tcW w:w="3300" w:type="dxa"/>
          </w:tcPr>
          <w:p w14:paraId="73B5D773" w14:textId="77777777" w:rsidR="00E74982" w:rsidRPr="006950D1" w:rsidRDefault="00E74982" w:rsidP="004C1278">
            <w:pPr>
              <w:rPr>
                <w:sz w:val="20"/>
                <w:szCs w:val="20"/>
              </w:rPr>
            </w:pPr>
          </w:p>
        </w:tc>
      </w:tr>
    </w:tbl>
    <w:p w14:paraId="371BE35B" w14:textId="77777777" w:rsidR="001F786F" w:rsidRPr="006950D1" w:rsidRDefault="004C1278">
      <w:pPr>
        <w:pStyle w:val="BodyText"/>
        <w:spacing w:before="194"/>
        <w:ind w:left="175"/>
        <w:jc w:val="both"/>
        <w:rPr>
          <w:sz w:val="20"/>
          <w:szCs w:val="20"/>
        </w:rPr>
      </w:pPr>
      <w:r w:rsidRPr="006950D1">
        <w:rPr>
          <w:color w:val="FF0000"/>
          <w:sz w:val="20"/>
          <w:szCs w:val="20"/>
        </w:rPr>
        <w:t>[NOTE to the drafter, to be removed before publication:</w:t>
      </w:r>
    </w:p>
    <w:p w14:paraId="43EDE6DC" w14:textId="77777777" w:rsidR="001F786F" w:rsidRPr="006950D1" w:rsidRDefault="001F786F">
      <w:pPr>
        <w:pStyle w:val="BodyText"/>
        <w:spacing w:before="4"/>
        <w:rPr>
          <w:sz w:val="18"/>
          <w:szCs w:val="20"/>
        </w:rPr>
      </w:pPr>
    </w:p>
    <w:p w14:paraId="5B77E17C" w14:textId="1DFDDA9A" w:rsidR="001F786F" w:rsidRPr="006950D1" w:rsidRDefault="004C1278" w:rsidP="00846895">
      <w:pPr>
        <w:pStyle w:val="BodyText"/>
        <w:ind w:left="175" w:right="196"/>
        <w:jc w:val="both"/>
        <w:rPr>
          <w:sz w:val="20"/>
          <w:szCs w:val="20"/>
        </w:rPr>
      </w:pPr>
      <w:r w:rsidRPr="006950D1">
        <w:rPr>
          <w:color w:val="FF0000"/>
          <w:sz w:val="20"/>
          <w:szCs w:val="20"/>
        </w:rPr>
        <w:t>This table can be used to accommodate all possible cases and independently how detailed correspondence is established or is possible to give:</w:t>
      </w:r>
    </w:p>
    <w:p w14:paraId="21122BD0" w14:textId="590C7520" w:rsidR="001F786F" w:rsidRPr="006950D1" w:rsidRDefault="004C1278">
      <w:pPr>
        <w:pStyle w:val="ListParagraph"/>
        <w:numPr>
          <w:ilvl w:val="0"/>
          <w:numId w:val="1"/>
        </w:numPr>
        <w:tabs>
          <w:tab w:val="left" w:pos="535"/>
          <w:tab w:val="left" w:pos="536"/>
        </w:tabs>
        <w:ind w:right="195" w:hanging="359"/>
        <w:rPr>
          <w:sz w:val="20"/>
          <w:szCs w:val="20"/>
        </w:rPr>
      </w:pPr>
      <w:r w:rsidRPr="006950D1">
        <w:rPr>
          <w:color w:val="FF0000"/>
          <w:sz w:val="20"/>
          <w:szCs w:val="20"/>
        </w:rPr>
        <w:t>to declare the correspondence with a general statement ‘all requirements are covered’ by complying ‘all (or indicated) clauses’ (then the table would contain only one</w:t>
      </w:r>
      <w:r w:rsidRPr="006950D1">
        <w:rPr>
          <w:color w:val="FF0000"/>
          <w:spacing w:val="-29"/>
          <w:sz w:val="20"/>
          <w:szCs w:val="20"/>
        </w:rPr>
        <w:t xml:space="preserve"> </w:t>
      </w:r>
      <w:r w:rsidRPr="006950D1">
        <w:rPr>
          <w:color w:val="FF0000"/>
          <w:sz w:val="20"/>
          <w:szCs w:val="20"/>
        </w:rPr>
        <w:t>row);</w:t>
      </w:r>
    </w:p>
    <w:p w14:paraId="51279544" w14:textId="77777777" w:rsidR="001F786F" w:rsidRPr="006950D1" w:rsidRDefault="004C1278">
      <w:pPr>
        <w:pStyle w:val="ListParagraph"/>
        <w:numPr>
          <w:ilvl w:val="0"/>
          <w:numId w:val="1"/>
        </w:numPr>
        <w:tabs>
          <w:tab w:val="left" w:pos="536"/>
        </w:tabs>
        <w:spacing w:line="257" w:lineRule="exact"/>
        <w:ind w:hanging="359"/>
        <w:jc w:val="both"/>
        <w:rPr>
          <w:sz w:val="20"/>
          <w:szCs w:val="20"/>
        </w:rPr>
      </w:pPr>
      <w:r w:rsidRPr="006950D1">
        <w:rPr>
          <w:color w:val="FF0000"/>
          <w:sz w:val="20"/>
          <w:szCs w:val="20"/>
        </w:rPr>
        <w:t>to</w:t>
      </w:r>
      <w:r w:rsidRPr="006950D1">
        <w:rPr>
          <w:color w:val="FF0000"/>
          <w:spacing w:val="-3"/>
          <w:sz w:val="20"/>
          <w:szCs w:val="20"/>
        </w:rPr>
        <w:t xml:space="preserve"> </w:t>
      </w:r>
      <w:r w:rsidRPr="006950D1">
        <w:rPr>
          <w:color w:val="FF0000"/>
          <w:sz w:val="20"/>
          <w:szCs w:val="20"/>
        </w:rPr>
        <w:t>declare</w:t>
      </w:r>
      <w:r w:rsidRPr="006950D1">
        <w:rPr>
          <w:color w:val="FF0000"/>
          <w:spacing w:val="-3"/>
          <w:sz w:val="20"/>
          <w:szCs w:val="20"/>
        </w:rPr>
        <w:t xml:space="preserve"> </w:t>
      </w:r>
      <w:r w:rsidRPr="006950D1">
        <w:rPr>
          <w:color w:val="FF0000"/>
          <w:sz w:val="20"/>
          <w:szCs w:val="20"/>
        </w:rPr>
        <w:t>more</w:t>
      </w:r>
      <w:r w:rsidRPr="006950D1">
        <w:rPr>
          <w:color w:val="FF0000"/>
          <w:spacing w:val="-3"/>
          <w:sz w:val="20"/>
          <w:szCs w:val="20"/>
        </w:rPr>
        <w:t xml:space="preserve"> </w:t>
      </w:r>
      <w:r w:rsidRPr="006950D1">
        <w:rPr>
          <w:color w:val="FF0000"/>
          <w:sz w:val="20"/>
          <w:szCs w:val="20"/>
        </w:rPr>
        <w:t>detailed</w:t>
      </w:r>
      <w:r w:rsidRPr="006950D1">
        <w:rPr>
          <w:color w:val="FF0000"/>
          <w:spacing w:val="-3"/>
          <w:sz w:val="20"/>
          <w:szCs w:val="20"/>
        </w:rPr>
        <w:t xml:space="preserve"> </w:t>
      </w:r>
      <w:r w:rsidRPr="006950D1">
        <w:rPr>
          <w:color w:val="FF0000"/>
          <w:sz w:val="20"/>
          <w:szCs w:val="20"/>
        </w:rPr>
        <w:t>correspondence</w:t>
      </w:r>
      <w:r w:rsidRPr="006950D1">
        <w:rPr>
          <w:color w:val="FF0000"/>
          <w:spacing w:val="-3"/>
          <w:sz w:val="20"/>
          <w:szCs w:val="20"/>
        </w:rPr>
        <w:t xml:space="preserve"> </w:t>
      </w:r>
      <w:r w:rsidRPr="006950D1">
        <w:rPr>
          <w:color w:val="FF0000"/>
          <w:sz w:val="20"/>
          <w:szCs w:val="20"/>
        </w:rPr>
        <w:t>(then</w:t>
      </w:r>
      <w:r w:rsidRPr="006950D1">
        <w:rPr>
          <w:color w:val="FF0000"/>
          <w:spacing w:val="-4"/>
          <w:sz w:val="20"/>
          <w:szCs w:val="20"/>
        </w:rPr>
        <w:t xml:space="preserve"> </w:t>
      </w:r>
      <w:r w:rsidRPr="006950D1">
        <w:rPr>
          <w:color w:val="FF0000"/>
          <w:sz w:val="20"/>
          <w:szCs w:val="20"/>
        </w:rPr>
        <w:t>the</w:t>
      </w:r>
      <w:r w:rsidRPr="006950D1">
        <w:rPr>
          <w:color w:val="FF0000"/>
          <w:spacing w:val="-3"/>
          <w:sz w:val="20"/>
          <w:szCs w:val="20"/>
        </w:rPr>
        <w:t xml:space="preserve"> </w:t>
      </w:r>
      <w:r w:rsidRPr="006950D1">
        <w:rPr>
          <w:color w:val="FF0000"/>
          <w:sz w:val="20"/>
          <w:szCs w:val="20"/>
        </w:rPr>
        <w:t>table</w:t>
      </w:r>
      <w:r w:rsidRPr="006950D1">
        <w:rPr>
          <w:color w:val="FF0000"/>
          <w:spacing w:val="-3"/>
          <w:sz w:val="20"/>
          <w:szCs w:val="20"/>
        </w:rPr>
        <w:t xml:space="preserve"> </w:t>
      </w:r>
      <w:r w:rsidRPr="006950D1">
        <w:rPr>
          <w:color w:val="FF0000"/>
          <w:sz w:val="20"/>
          <w:szCs w:val="20"/>
        </w:rPr>
        <w:t>would</w:t>
      </w:r>
      <w:r w:rsidRPr="006950D1">
        <w:rPr>
          <w:color w:val="FF0000"/>
          <w:spacing w:val="-5"/>
          <w:sz w:val="20"/>
          <w:szCs w:val="20"/>
        </w:rPr>
        <w:t xml:space="preserve"> </w:t>
      </w:r>
      <w:r w:rsidRPr="006950D1">
        <w:rPr>
          <w:color w:val="FF0000"/>
          <w:sz w:val="20"/>
          <w:szCs w:val="20"/>
        </w:rPr>
        <w:t>contain</w:t>
      </w:r>
      <w:r w:rsidRPr="006950D1">
        <w:rPr>
          <w:color w:val="FF0000"/>
          <w:spacing w:val="-4"/>
          <w:sz w:val="20"/>
          <w:szCs w:val="20"/>
        </w:rPr>
        <w:t xml:space="preserve"> </w:t>
      </w:r>
      <w:r w:rsidRPr="006950D1">
        <w:rPr>
          <w:color w:val="FF0000"/>
          <w:sz w:val="20"/>
          <w:szCs w:val="20"/>
        </w:rPr>
        <w:t>as</w:t>
      </w:r>
      <w:r w:rsidRPr="006950D1">
        <w:rPr>
          <w:color w:val="FF0000"/>
          <w:spacing w:val="-4"/>
          <w:sz w:val="20"/>
          <w:szCs w:val="20"/>
        </w:rPr>
        <w:t xml:space="preserve"> </w:t>
      </w:r>
      <w:r w:rsidRPr="006950D1">
        <w:rPr>
          <w:color w:val="FF0000"/>
          <w:sz w:val="20"/>
          <w:szCs w:val="20"/>
        </w:rPr>
        <w:t>many</w:t>
      </w:r>
      <w:r w:rsidRPr="006950D1">
        <w:rPr>
          <w:color w:val="FF0000"/>
          <w:spacing w:val="-4"/>
          <w:sz w:val="20"/>
          <w:szCs w:val="20"/>
        </w:rPr>
        <w:t xml:space="preserve"> </w:t>
      </w:r>
      <w:r w:rsidRPr="006950D1">
        <w:rPr>
          <w:color w:val="FF0000"/>
          <w:sz w:val="20"/>
          <w:szCs w:val="20"/>
        </w:rPr>
        <w:t>rows</w:t>
      </w:r>
      <w:r w:rsidRPr="006950D1">
        <w:rPr>
          <w:color w:val="FF0000"/>
          <w:spacing w:val="-2"/>
          <w:sz w:val="20"/>
          <w:szCs w:val="20"/>
        </w:rPr>
        <w:t xml:space="preserve"> </w:t>
      </w:r>
      <w:r w:rsidRPr="006950D1">
        <w:rPr>
          <w:color w:val="FF0000"/>
          <w:sz w:val="20"/>
          <w:szCs w:val="20"/>
        </w:rPr>
        <w:t>as</w:t>
      </w:r>
      <w:r w:rsidRPr="006950D1">
        <w:rPr>
          <w:color w:val="FF0000"/>
          <w:spacing w:val="-2"/>
          <w:sz w:val="20"/>
          <w:szCs w:val="20"/>
        </w:rPr>
        <w:t xml:space="preserve"> </w:t>
      </w:r>
      <w:r w:rsidRPr="006950D1">
        <w:rPr>
          <w:color w:val="FF0000"/>
          <w:sz w:val="20"/>
          <w:szCs w:val="20"/>
        </w:rPr>
        <w:t>needed).]</w:t>
      </w:r>
    </w:p>
    <w:p w14:paraId="76962F36" w14:textId="77777777" w:rsidR="001F786F" w:rsidRPr="006950D1" w:rsidRDefault="001F786F">
      <w:pPr>
        <w:pStyle w:val="BodyText"/>
        <w:spacing w:before="7"/>
        <w:rPr>
          <w:sz w:val="18"/>
          <w:szCs w:val="20"/>
        </w:rPr>
      </w:pPr>
    </w:p>
    <w:p w14:paraId="1F11A0BB" w14:textId="22825390" w:rsidR="001F786F" w:rsidRPr="006950D1" w:rsidRDefault="004C1278" w:rsidP="006950D1">
      <w:pPr>
        <w:pStyle w:val="BodyText"/>
        <w:ind w:left="175" w:right="194"/>
        <w:jc w:val="both"/>
        <w:rPr>
          <w:sz w:val="20"/>
          <w:szCs w:val="20"/>
        </w:rPr>
      </w:pPr>
      <w:r w:rsidRPr="006950D1">
        <w:rPr>
          <w:b/>
          <w:sz w:val="20"/>
          <w:szCs w:val="20"/>
        </w:rPr>
        <w:t xml:space="preserve">WARNING 1 — </w:t>
      </w:r>
      <w:r w:rsidRPr="006950D1">
        <w:rPr>
          <w:sz w:val="20"/>
          <w:szCs w:val="20"/>
        </w:rPr>
        <w:t>Presumption of conformity stays valid only as long as a reference to this European Standard is maintained in the list published in the Official Journal of the European Union. Users of this standard should consult frequently the latest list published in the Official Journal of the European Union.</w:t>
      </w:r>
    </w:p>
    <w:p w14:paraId="3FFB3EF7" w14:textId="7CCC8A95" w:rsidR="001F786F" w:rsidRPr="006950D1" w:rsidRDefault="004C1278" w:rsidP="006950D1">
      <w:pPr>
        <w:pStyle w:val="BodyText"/>
        <w:spacing w:before="1"/>
        <w:ind w:left="175" w:right="191"/>
        <w:jc w:val="both"/>
      </w:pPr>
      <w:r w:rsidRPr="006950D1">
        <w:rPr>
          <w:b/>
          <w:sz w:val="20"/>
          <w:szCs w:val="20"/>
        </w:rPr>
        <w:t xml:space="preserve">WARNING 2 — </w:t>
      </w:r>
      <w:r w:rsidRPr="006950D1">
        <w:rPr>
          <w:sz w:val="20"/>
          <w:szCs w:val="20"/>
        </w:rPr>
        <w:t xml:space="preserve">Other Union legislation may be applicable to the products falling within the scope of </w:t>
      </w:r>
      <w:r>
        <w:t>this standard.</w:t>
      </w:r>
    </w:p>
    <w:p w14:paraId="24AB509D" w14:textId="77777777" w:rsidR="001F786F" w:rsidRDefault="001F786F">
      <w:pPr>
        <w:pStyle w:val="BodyText"/>
        <w:rPr>
          <w:sz w:val="20"/>
        </w:rPr>
      </w:pPr>
    </w:p>
    <w:sectPr w:rsidR="001F786F">
      <w:type w:val="continuous"/>
      <w:pgSz w:w="11910" w:h="16840"/>
      <w:pgMar w:top="560" w:right="540" w:bottom="280" w:left="1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4B7D7" w14:textId="77777777" w:rsidR="006950D1" w:rsidRDefault="006950D1" w:rsidP="006950D1">
      <w:r>
        <w:separator/>
      </w:r>
    </w:p>
  </w:endnote>
  <w:endnote w:type="continuationSeparator" w:id="0">
    <w:p w14:paraId="0021DD41" w14:textId="77777777" w:rsidR="006950D1" w:rsidRDefault="006950D1" w:rsidP="0069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CD244" w14:textId="77777777" w:rsidR="006950D1" w:rsidRDefault="006950D1" w:rsidP="006950D1">
      <w:r>
        <w:separator/>
      </w:r>
    </w:p>
  </w:footnote>
  <w:footnote w:type="continuationSeparator" w:id="0">
    <w:p w14:paraId="6D5F317C" w14:textId="77777777" w:rsidR="006950D1" w:rsidRDefault="006950D1" w:rsidP="006950D1">
      <w:r>
        <w:continuationSeparator/>
      </w:r>
    </w:p>
  </w:footnote>
  <w:footnote w:id="1">
    <w:p w14:paraId="6E147C5C" w14:textId="77777777" w:rsidR="006950D1" w:rsidRPr="00C36BE4" w:rsidRDefault="006950D1" w:rsidP="006950D1">
      <w:pPr>
        <w:jc w:val="both"/>
        <w:rPr>
          <w:sz w:val="18"/>
          <w:szCs w:val="20"/>
          <w:highlight w:val="yellow"/>
        </w:rPr>
      </w:pPr>
      <w:r w:rsidRPr="00C36BE4">
        <w:rPr>
          <w:rStyle w:val="FootnoteReference"/>
          <w:highlight w:val="yellow"/>
        </w:rPr>
        <w:footnoteRef/>
      </w:r>
      <w:r w:rsidRPr="00C36BE4">
        <w:rPr>
          <w:highlight w:val="yellow"/>
        </w:rPr>
        <w:t xml:space="preserve"> </w:t>
      </w:r>
      <w:r w:rsidRPr="00C36BE4">
        <w:rPr>
          <w:sz w:val="18"/>
          <w:szCs w:val="20"/>
          <w:highlight w:val="yellow"/>
        </w:rPr>
        <w:t xml:space="preserve">This template is to be used in </w:t>
      </w:r>
      <w:r w:rsidRPr="00C36BE4">
        <w:rPr>
          <w:sz w:val="18"/>
          <w:szCs w:val="20"/>
          <w:highlight w:val="yellow"/>
          <w:u w:val="single"/>
        </w:rPr>
        <w:t>draft</w:t>
      </w:r>
      <w:r w:rsidRPr="00C36BE4">
        <w:rPr>
          <w:sz w:val="18"/>
          <w:szCs w:val="20"/>
          <w:highlight w:val="yellow"/>
        </w:rPr>
        <w:t xml:space="preserve"> standards in support of the General Product Safety Regulation. </w:t>
      </w:r>
    </w:p>
    <w:p w14:paraId="22F3BE8D" w14:textId="77777777" w:rsidR="006950D1" w:rsidRPr="00C36BE4" w:rsidRDefault="006950D1" w:rsidP="006950D1">
      <w:pPr>
        <w:jc w:val="both"/>
        <w:rPr>
          <w:sz w:val="18"/>
          <w:szCs w:val="20"/>
          <w:highlight w:val="yellow"/>
        </w:rPr>
      </w:pPr>
      <w:r w:rsidRPr="00C36BE4">
        <w:rPr>
          <w:sz w:val="18"/>
          <w:szCs w:val="20"/>
          <w:highlight w:val="yellow"/>
        </w:rPr>
        <w:t>Since the Standardization Requests in support of the General Product Safety Regulation are not yet adopted (expected to take place in 2024 and then accepted by CEN and CENELEC BTs) the reference and the date of the Standardization Request are not known and therefore the references shall be kept as ‘C(202</w:t>
      </w:r>
      <w:proofErr w:type="gramStart"/>
      <w:r w:rsidRPr="00C36BE4">
        <w:rPr>
          <w:sz w:val="18"/>
          <w:szCs w:val="20"/>
          <w:highlight w:val="yellow"/>
        </w:rPr>
        <w:t>X)XXXX</w:t>
      </w:r>
      <w:proofErr w:type="gramEnd"/>
      <w:r w:rsidRPr="00C36BE4">
        <w:rPr>
          <w:sz w:val="18"/>
          <w:szCs w:val="20"/>
          <w:highlight w:val="yellow"/>
        </w:rPr>
        <w:t>’, ‘DD Month YYYY’ and ‘M/XXX’.</w:t>
      </w:r>
    </w:p>
    <w:p w14:paraId="2FA7BE07" w14:textId="7BE1EBA1" w:rsidR="006950D1" w:rsidRDefault="006950D1" w:rsidP="006950D1">
      <w:pPr>
        <w:pStyle w:val="FootnoteText"/>
      </w:pPr>
      <w:r w:rsidRPr="00C36BE4">
        <w:rPr>
          <w:sz w:val="18"/>
          <w:szCs w:val="18"/>
          <w:highlight w:val="yellow"/>
        </w:rPr>
        <w:t>When the Standardization Request is adopted, this template will be revised to include the number references and the date of the adopted Standardization Request.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F6ED6"/>
    <w:multiLevelType w:val="hybridMultilevel"/>
    <w:tmpl w:val="AD901D5E"/>
    <w:lvl w:ilvl="0" w:tplc="EFF2BE32">
      <w:numFmt w:val="bullet"/>
      <w:lvlText w:val="-"/>
      <w:lvlJc w:val="left"/>
      <w:pPr>
        <w:ind w:left="535" w:hanging="360"/>
      </w:pPr>
      <w:rPr>
        <w:rFonts w:ascii="Arial" w:eastAsia="Arial" w:hAnsi="Arial" w:cs="Arial" w:hint="default"/>
        <w:color w:val="FF0000"/>
        <w:w w:val="100"/>
        <w:sz w:val="22"/>
        <w:szCs w:val="22"/>
      </w:rPr>
    </w:lvl>
    <w:lvl w:ilvl="1" w:tplc="178840D4">
      <w:numFmt w:val="bullet"/>
      <w:lvlText w:val="•"/>
      <w:lvlJc w:val="left"/>
      <w:pPr>
        <w:ind w:left="1498" w:hanging="360"/>
      </w:pPr>
      <w:rPr>
        <w:rFonts w:hint="default"/>
      </w:rPr>
    </w:lvl>
    <w:lvl w:ilvl="2" w:tplc="5B402250">
      <w:numFmt w:val="bullet"/>
      <w:lvlText w:val="•"/>
      <w:lvlJc w:val="left"/>
      <w:pPr>
        <w:ind w:left="2457" w:hanging="360"/>
      </w:pPr>
      <w:rPr>
        <w:rFonts w:hint="default"/>
      </w:rPr>
    </w:lvl>
    <w:lvl w:ilvl="3" w:tplc="A1E662EA">
      <w:numFmt w:val="bullet"/>
      <w:lvlText w:val="•"/>
      <w:lvlJc w:val="left"/>
      <w:pPr>
        <w:ind w:left="3415" w:hanging="360"/>
      </w:pPr>
      <w:rPr>
        <w:rFonts w:hint="default"/>
      </w:rPr>
    </w:lvl>
    <w:lvl w:ilvl="4" w:tplc="0BBECBC6">
      <w:numFmt w:val="bullet"/>
      <w:lvlText w:val="•"/>
      <w:lvlJc w:val="left"/>
      <w:pPr>
        <w:ind w:left="4374" w:hanging="360"/>
      </w:pPr>
      <w:rPr>
        <w:rFonts w:hint="default"/>
      </w:rPr>
    </w:lvl>
    <w:lvl w:ilvl="5" w:tplc="E918D0FC">
      <w:numFmt w:val="bullet"/>
      <w:lvlText w:val="•"/>
      <w:lvlJc w:val="left"/>
      <w:pPr>
        <w:ind w:left="5333" w:hanging="360"/>
      </w:pPr>
      <w:rPr>
        <w:rFonts w:hint="default"/>
      </w:rPr>
    </w:lvl>
    <w:lvl w:ilvl="6" w:tplc="F7D2F0DA">
      <w:numFmt w:val="bullet"/>
      <w:lvlText w:val="•"/>
      <w:lvlJc w:val="left"/>
      <w:pPr>
        <w:ind w:left="6291" w:hanging="360"/>
      </w:pPr>
      <w:rPr>
        <w:rFonts w:hint="default"/>
      </w:rPr>
    </w:lvl>
    <w:lvl w:ilvl="7" w:tplc="8A78C536">
      <w:numFmt w:val="bullet"/>
      <w:lvlText w:val="•"/>
      <w:lvlJc w:val="left"/>
      <w:pPr>
        <w:ind w:left="7250" w:hanging="360"/>
      </w:pPr>
      <w:rPr>
        <w:rFonts w:hint="default"/>
      </w:rPr>
    </w:lvl>
    <w:lvl w:ilvl="8" w:tplc="47FCED86">
      <w:numFmt w:val="bullet"/>
      <w:lvlText w:val="•"/>
      <w:lvlJc w:val="left"/>
      <w:pPr>
        <w:ind w:left="8209" w:hanging="360"/>
      </w:pPr>
      <w:rPr>
        <w:rFonts w:hint="default"/>
      </w:rPr>
    </w:lvl>
  </w:abstractNum>
  <w:num w:numId="1" w16cid:durableId="745953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docVars>
    <w:docVar w:name="LW_DocType" w:val="NORMAL"/>
  </w:docVars>
  <w:rsids>
    <w:rsidRoot w:val="001F786F"/>
    <w:rsid w:val="000D60F9"/>
    <w:rsid w:val="001F786F"/>
    <w:rsid w:val="00354440"/>
    <w:rsid w:val="00434106"/>
    <w:rsid w:val="004C1278"/>
    <w:rsid w:val="006950D1"/>
    <w:rsid w:val="00846895"/>
    <w:rsid w:val="00954F42"/>
    <w:rsid w:val="0096344F"/>
    <w:rsid w:val="00C36BE4"/>
    <w:rsid w:val="00C967C7"/>
    <w:rsid w:val="00E047E5"/>
    <w:rsid w:val="00E74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E7A6C"/>
  <w15:docId w15:val="{8E610E31-26E5-4FFE-B668-C1D17E61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100"/>
      <w:ind w:left="596" w:right="617" w:hanging="2"/>
      <w:jc w:val="center"/>
      <w:outlineLvl w:val="0"/>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35" w:hanging="359"/>
    </w:pPr>
  </w:style>
  <w:style w:type="paragraph" w:customStyle="1" w:styleId="TableParagraph">
    <w:name w:val="Table Paragraph"/>
    <w:basedOn w:val="Normal"/>
    <w:uiPriority w:val="1"/>
    <w:qFormat/>
    <w:pPr>
      <w:ind w:left="266"/>
    </w:pPr>
  </w:style>
  <w:style w:type="paragraph" w:customStyle="1" w:styleId="Default">
    <w:name w:val="Default"/>
    <w:rsid w:val="00846895"/>
    <w:pPr>
      <w:widowControl/>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E047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7E5"/>
    <w:rPr>
      <w:rFonts w:ascii="Segoe UI" w:eastAsia="Cambria" w:hAnsi="Segoe UI" w:cs="Segoe UI"/>
      <w:sz w:val="18"/>
      <w:szCs w:val="18"/>
    </w:rPr>
  </w:style>
  <w:style w:type="character" w:styleId="CommentReference">
    <w:name w:val="annotation reference"/>
    <w:basedOn w:val="DefaultParagraphFont"/>
    <w:uiPriority w:val="99"/>
    <w:semiHidden/>
    <w:unhideWhenUsed/>
    <w:rsid w:val="00E047E5"/>
    <w:rPr>
      <w:sz w:val="16"/>
      <w:szCs w:val="16"/>
    </w:rPr>
  </w:style>
  <w:style w:type="paragraph" w:styleId="CommentText">
    <w:name w:val="annotation text"/>
    <w:basedOn w:val="Normal"/>
    <w:link w:val="CommentTextChar"/>
    <w:uiPriority w:val="99"/>
    <w:semiHidden/>
    <w:unhideWhenUsed/>
    <w:rsid w:val="00E047E5"/>
    <w:rPr>
      <w:sz w:val="20"/>
      <w:szCs w:val="20"/>
    </w:rPr>
  </w:style>
  <w:style w:type="character" w:customStyle="1" w:styleId="CommentTextChar">
    <w:name w:val="Comment Text Char"/>
    <w:basedOn w:val="DefaultParagraphFont"/>
    <w:link w:val="CommentText"/>
    <w:uiPriority w:val="99"/>
    <w:semiHidden/>
    <w:rsid w:val="00E047E5"/>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E047E5"/>
    <w:rPr>
      <w:b/>
      <w:bCs/>
    </w:rPr>
  </w:style>
  <w:style w:type="character" w:customStyle="1" w:styleId="CommentSubjectChar">
    <w:name w:val="Comment Subject Char"/>
    <w:basedOn w:val="CommentTextChar"/>
    <w:link w:val="CommentSubject"/>
    <w:uiPriority w:val="99"/>
    <w:semiHidden/>
    <w:rsid w:val="00E047E5"/>
    <w:rPr>
      <w:rFonts w:ascii="Cambria" w:eastAsia="Cambria" w:hAnsi="Cambria" w:cs="Cambria"/>
      <w:b/>
      <w:bCs/>
      <w:sz w:val="20"/>
      <w:szCs w:val="20"/>
    </w:rPr>
  </w:style>
  <w:style w:type="paragraph" w:styleId="FootnoteText">
    <w:name w:val="footnote text"/>
    <w:basedOn w:val="Normal"/>
    <w:link w:val="FootnoteTextChar"/>
    <w:uiPriority w:val="99"/>
    <w:semiHidden/>
    <w:unhideWhenUsed/>
    <w:rsid w:val="006950D1"/>
    <w:rPr>
      <w:sz w:val="20"/>
      <w:szCs w:val="20"/>
    </w:rPr>
  </w:style>
  <w:style w:type="character" w:customStyle="1" w:styleId="FootnoteTextChar">
    <w:name w:val="Footnote Text Char"/>
    <w:basedOn w:val="DefaultParagraphFont"/>
    <w:link w:val="FootnoteText"/>
    <w:uiPriority w:val="99"/>
    <w:semiHidden/>
    <w:rsid w:val="006950D1"/>
    <w:rPr>
      <w:rFonts w:ascii="Cambria" w:eastAsia="Cambria" w:hAnsi="Cambria" w:cs="Cambria"/>
      <w:sz w:val="20"/>
      <w:szCs w:val="20"/>
    </w:rPr>
  </w:style>
  <w:style w:type="character" w:styleId="FootnoteReference">
    <w:name w:val="footnote reference"/>
    <w:basedOn w:val="DefaultParagraphFont"/>
    <w:uiPriority w:val="99"/>
    <w:semiHidden/>
    <w:unhideWhenUsed/>
    <w:rsid w:val="006950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235995">
      <w:bodyDiv w:val="1"/>
      <w:marLeft w:val="0"/>
      <w:marRight w:val="0"/>
      <w:marTop w:val="0"/>
      <w:marBottom w:val="0"/>
      <w:divBdr>
        <w:top w:val="none" w:sz="0" w:space="0" w:color="auto"/>
        <w:left w:val="none" w:sz="0" w:space="0" w:color="auto"/>
        <w:bottom w:val="none" w:sz="0" w:space="0" w:color="auto"/>
        <w:right w:val="none" w:sz="0" w:space="0" w:color="auto"/>
      </w:divBdr>
    </w:div>
    <w:div w:id="787747441">
      <w:bodyDiv w:val="1"/>
      <w:marLeft w:val="0"/>
      <w:marRight w:val="0"/>
      <w:marTop w:val="0"/>
      <w:marBottom w:val="0"/>
      <w:divBdr>
        <w:top w:val="none" w:sz="0" w:space="0" w:color="auto"/>
        <w:left w:val="none" w:sz="0" w:space="0" w:color="auto"/>
        <w:bottom w:val="none" w:sz="0" w:space="0" w:color="auto"/>
        <w:right w:val="none" w:sz="0" w:space="0" w:color="auto"/>
      </w:divBdr>
    </w:div>
    <w:div w:id="1671635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8965699d809e249094791ea5ff490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B1CB6-7EED-4B30-8237-67DA5EC5D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8A6A7EF-D692-4B33-BA57-07DF871CEDDE}">
  <ds:schemaRefs>
    <ds:schemaRef ds:uri="http://schemas.microsoft.com/sharepoint/v3/contenttype/forms"/>
  </ds:schemaRefs>
</ds:datastoreItem>
</file>

<file path=customXml/itemProps3.xml><?xml version="1.0" encoding="utf-8"?>
<ds:datastoreItem xmlns:ds="http://schemas.openxmlformats.org/officeDocument/2006/customXml" ds:itemID="{3AD0F3A4-506A-45A1-90EE-40CFBE5F65C3}">
  <ds:schemaRefs>
    <ds:schemaRef ds:uri="http://schemas.microsoft.com/office/2006/metadata/properties"/>
  </ds:schemaRefs>
</ds:datastoreItem>
</file>

<file path=customXml/itemProps4.xml><?xml version="1.0" encoding="utf-8"?>
<ds:datastoreItem xmlns:ds="http://schemas.openxmlformats.org/officeDocument/2006/customXml" ds:itemID="{7DB6807F-9DB0-4DD5-8BEA-B4F24425C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CEN Annex ZA (informative) - Relationship between this European Standard and the ecodesign requirements of Commission Regulation (EU/EC) No [XXX/YYYY] aimed to be covered</vt:lpstr>
    </vt:vector>
  </TitlesOfParts>
  <Company>CENCENELEC</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 Annex ZA (informative) - Relationship between this European Standard and the ecodesign requirements of Commission Regulation (EU/EC) No [XXX/YYYY] aimed to be covered</dc:title>
  <dc:creator>Schobeß, Christian</dc:creator>
  <cp:keywords>Annex zA, ecodesign, essential, requirements, EU, Directive</cp:keywords>
  <cp:lastModifiedBy>Dalier Claire</cp:lastModifiedBy>
  <cp:revision>4</cp:revision>
  <dcterms:created xsi:type="dcterms:W3CDTF">2020-06-05T07:37:00Z</dcterms:created>
  <dcterms:modified xsi:type="dcterms:W3CDTF">2024-03-18T14:00:00Z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2020-05-14T00:00:00Z</vt:filetime>
  </property>
  <property fmtid="{D5CDD505-2E9C-101B-9397-08002B2CF9AE}" pid="3" name="Creator">
    <vt:lpwstr>Acrobat PDFMaker 15 for Word</vt:lpwstr>
  </property>
  <property fmtid="{D5CDD505-2E9C-101B-9397-08002B2CF9AE}" pid="4" name="LastSaved">
    <vt:filetime>2020-05-14T00:00:00Z</vt:filetime>
  </property>
  <property fmtid="{D5CDD505-2E9C-101B-9397-08002B2CF9AE}" pid="5" name="ContentTypeId">
    <vt:lpwstr>0x01010066E1B49CF51A9F429440A3C78B816EED</vt:lpwstr>
  </property>
</Properties>
</file>